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00"/>
      </w:pPr>
      <w:r>
        <w:rPr>
          <w:rFonts w:ascii="Arial" w:cs="Arial" w:eastAsia="Arial" w:hAnsi="Arial"/>
          <w:b/>
          <w:bCs/>
          <w:color w:val="1E2533"/>
          <w:sz w:val="52"/>
          <w:szCs w:val="52"/>
        </w:rPr>
        <w:t xml:space="preserve">Walker Operating Policy</w:t>
      </w:r>
    </w:p>
    <w:p>
      <w:pPr>
        <w:spacing w:after="60" w:before="0"/>
      </w:pPr>
      <w:r>
        <w:rPr>
          <w:rFonts w:ascii="Arial" w:cs="Arial" w:eastAsia="Arial" w:hAnsi="Arial"/>
          <w:color w:val="888888"/>
          <w:sz w:val="22"/>
          <w:szCs w:val="22"/>
        </w:rPr>
        <w:t xml:space="preserve">Cincinnati, Ohio  |  Hamilton County  |  Effective March 2026</w:t>
      </w:r>
    </w:p>
    <w:p>
      <w:pPr>
        <w:pBdr>
          <w:bottom w:val="single" w:color="1A7A4A" w:sz="8" w:space="6"/>
        </w:pBdr>
        <w:spacing w:after="200" w:before="0"/>
      </w:pPr>
    </w:p>
    <w:p>
      <w:pPr>
        <w:pBdr>
          <w:bottom w:val="single" w:color="1A7A4A" w:sz="6" w:space="4"/>
        </w:pBdr>
        <w:spacing w:after="100" w:before="280"/>
      </w:pPr>
      <w:r>
        <w:rPr>
          <w:rFonts w:ascii="Arial" w:cs="Arial" w:eastAsia="Arial" w:hAnsi="Arial"/>
          <w:b/>
          <w:bCs/>
          <w:caps/>
          <w:color w:val="1A7A4A"/>
          <w:sz w:val="22"/>
          <w:szCs w:val="22"/>
        </w:rPr>
        <w:t xml:space="preserve">1. PURPOSE &amp; SCOPE</w:t>
      </w:r>
    </w:p>
    <w:p>
      <w:pPr>
        <w:spacing w:after="80" w:before="80"/>
      </w:pPr>
      <w:r>
        <w:rPr>
          <w:rFonts w:ascii="Arial" w:cs="Arial" w:eastAsia="Arial" w:hAnsi="Arial"/>
          <w:color w:val="222222"/>
          <w:sz w:val="20"/>
          <w:szCs w:val="20"/>
        </w:rPr>
        <w:t xml:space="preserve">This document establishes the mandatory operating rules for all WalkMyAds walkers carrying LED display backpacks on public sidewalks in Cincinnati, Ohio. It is designed to ensure compliance with Cincinnati Municipal Code, ADA pedestrian access standards, Ohio privacy law, and applicable right-of-way requirements.</w:t>
      </w:r>
    </w:p>
    <w:p>
      <w:pPr>
        <w:spacing w:after="80" w:before="80"/>
      </w:pPr>
      <w:r>
        <w:rPr>
          <w:rFonts w:ascii="Arial" w:cs="Arial" w:eastAsia="Arial" w:hAnsi="Arial"/>
          <w:color w:val="222222"/>
          <w:sz w:val="20"/>
          <w:szCs w:val="20"/>
        </w:rPr>
        <w:t xml:space="preserve">This policy applies to all walkers, whether operating under direct employment or supervised contract arrangements, and must be read and acknowledged before any first session.</w:t>
      </w:r>
    </w:p>
    <w:p>
      <w:pPr>
        <w:spacing w:after="80" w:before="160"/>
      </w:pPr>
    </w:p>
    <w:p>
      <w:pPr>
        <w:pBdr>
          <w:bottom w:val="single" w:color="1A7A4A" w:sz="6" w:space="4"/>
        </w:pBdr>
        <w:spacing w:after="100" w:before="280"/>
      </w:pPr>
      <w:r>
        <w:rPr>
          <w:rFonts w:ascii="Arial" w:cs="Arial" w:eastAsia="Arial" w:hAnsi="Arial"/>
          <w:b/>
          <w:bCs/>
          <w:caps/>
          <w:color w:val="1A7A4A"/>
          <w:sz w:val="22"/>
          <w:szCs w:val="22"/>
        </w:rPr>
        <w:t xml:space="preserve">2. EQUIPMENT DESCRIPTION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7280"/>
      </w:tblGrid>
      <w:tr>
        <w:tc>
          <w:tcPr>
            <w:tcW w:type="dxa" w:w="2800"/>
            <w:tcBorders>
              <w:top w:val="single" w:color="444444" w:sz="1"/>
              <w:left w:val="single" w:color="444444" w:sz="1"/>
              <w:bottom w:val="single" w:color="444444" w:sz="1"/>
              <w:right w:val="single" w:color="444444" w:sz="1"/>
            </w:tcBorders>
            <w:shd w:fill="1E2533" w:val="clear"/>
            <w:tcMar>
              <w:top w:type="dxa" w:w="100"/>
              <w:left w:type="dxa" w:w="140"/>
              <w:bottom w:type="dxa" w:w="100"/>
              <w:right w:type="dxa" w:w="140"/>
            </w:tcMar>
          </w:tcPr>
          <w:p>
            <w:r>
              <w:rPr>
                <w:rFonts w:ascii="Arial" w:cs="Arial" w:eastAsia="Arial" w:hAnsi="Arial"/>
                <w:b/>
                <w:bCs/>
                <w:color w:val="FFFFFF"/>
                <w:sz w:val="20"/>
                <w:szCs w:val="20"/>
              </w:rPr>
              <w:t xml:space="preserve">Component</w:t>
            </w:r>
          </w:p>
        </w:tc>
        <w:tc>
          <w:tcPr>
            <w:tcW w:type="dxa" w:w="7280"/>
            <w:tcBorders>
              <w:top w:val="single" w:color="444444" w:sz="1"/>
              <w:left w:val="single" w:color="444444" w:sz="1"/>
              <w:bottom w:val="single" w:color="444444" w:sz="1"/>
              <w:right w:val="single" w:color="444444" w:sz="1"/>
            </w:tcBorders>
            <w:shd w:fill="1E2533" w:val="clear"/>
            <w:tcMar>
              <w:top w:type="dxa" w:w="100"/>
              <w:left w:type="dxa" w:w="140"/>
              <w:bottom w:type="dxa" w:w="100"/>
              <w:right w:type="dxa" w:w="140"/>
            </w:tcMar>
          </w:tcPr>
          <w:p>
            <w:r>
              <w:rPr>
                <w:rFonts w:ascii="Arial" w:cs="Arial" w:eastAsia="Arial" w:hAnsi="Arial"/>
                <w:b/>
                <w:bCs/>
                <w:color w:val="FFFFFF"/>
                <w:sz w:val="20"/>
                <w:szCs w:val="20"/>
              </w:rPr>
              <w:t xml:space="preserve">Specification</w:t>
            </w:r>
          </w:p>
        </w:tc>
      </w:tr>
      <w:tr>
        <w:tc>
          <w:tcPr>
            <w:tcW w:type="dxa" w:w="28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Display</w:t>
            </w:r>
          </w:p>
        </w:tc>
        <w:tc>
          <w:tcPr>
            <w:tcW w:type="dxa" w:w="728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LED backpack display — body-worn, not fixed to ground or structures</w:t>
            </w:r>
          </w:p>
        </w:tc>
      </w:tr>
      <w:tr>
        <w:tc>
          <w:tcPr>
            <w:tcW w:type="dxa" w:w="28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Slides</w:t>
            </w:r>
          </w:p>
        </w:tc>
        <w:tc>
          <w:tcPr>
            <w:tcW w:type="dxa" w:w="728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Up to 10 rotating digital ad slides per session</w:t>
            </w:r>
          </w:p>
        </w:tc>
      </w:tr>
      <w:tr>
        <w:tc>
          <w:tcPr>
            <w:tcW w:type="dxa" w:w="28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Camera</w:t>
            </w:r>
          </w:p>
        </w:tc>
        <w:tc>
          <w:tcPr>
            <w:tcW w:type="dxa" w:w="728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OAK-1 depth camera — anonymous impression counting ONLY. No facial recognition. No audio. No stored personal data.</w:t>
            </w:r>
          </w:p>
        </w:tc>
      </w:tr>
      <w:tr>
        <w:tc>
          <w:tcPr>
            <w:tcW w:type="dxa" w:w="28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QR codes</w:t>
            </w:r>
          </w:p>
        </w:tc>
        <w:tc>
          <w:tcPr>
            <w:tcW w:type="dxa" w:w="728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Per-slide QR codes linking to advertiser destinations — no interactive solicitation required</w:t>
            </w:r>
          </w:p>
        </w:tc>
      </w:tr>
      <w:tr>
        <w:tc>
          <w:tcPr>
            <w:tcW w:type="dxa" w:w="28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GPS tracker</w:t>
            </w:r>
          </w:p>
        </w:tc>
        <w:tc>
          <w:tcPr>
            <w:tcW w:type="dxa" w:w="728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Walker phone running GPS session tracker — route data used for client reporting only</w:t>
            </w:r>
          </w:p>
        </w:tc>
      </w:tr>
      <w:tr>
        <w:tc>
          <w:tcPr>
            <w:tcW w:type="dxa" w:w="28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Battery</w:t>
            </w:r>
          </w:p>
        </w:tc>
        <w:tc>
          <w:tcPr>
            <w:tcW w:type="dxa" w:w="728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Portable backup battery — self-contained, no external power connections required</w:t>
            </w:r>
          </w:p>
        </w:tc>
      </w:tr>
    </w:tbl>
    <w:p>
      <w:pPr>
        <w:spacing w:after="80" w:before="160"/>
      </w:pPr>
    </w:p>
    <w:p>
      <w:pPr>
        <w:pBdr>
          <w:bottom w:val="single" w:color="1A7A4A" w:sz="6" w:space="4"/>
        </w:pBdr>
        <w:spacing w:after="100" w:before="280"/>
      </w:pPr>
      <w:r>
        <w:rPr>
          <w:rFonts w:ascii="Arial" w:cs="Arial" w:eastAsia="Arial" w:hAnsi="Arial"/>
          <w:b/>
          <w:bCs/>
          <w:caps/>
          <w:color w:val="1A7A4A"/>
          <w:sz w:val="22"/>
          <w:szCs w:val="22"/>
        </w:rPr>
        <w:t xml:space="preserve">3. CORE MOVEMENT RULES  (MANDATORY)</w:t>
      </w:r>
    </w:p>
    <w:p>
      <w:pPr>
        <w:spacing w:after="80" w:before="80"/>
      </w:pPr>
      <w:r>
        <w:rPr>
          <w:rFonts w:ascii="Arial" w:cs="Arial" w:eastAsia="Arial" w:hAnsi="Arial"/>
          <w:color w:val="222222"/>
          <w:sz w:val="20"/>
          <w:szCs w:val="20"/>
        </w:rPr>
        <w:t xml:space="preserve">The following rules are non-negotiable and apply during every session without exception:</w:t>
      </w:r>
    </w:p>
    <w:p>
      <w:pPr>
        <w:spacing w:after="40" w:before="80"/>
      </w:pPr>
    </w:p>
    <w:p>
      <w:pPr>
        <w:pStyle w:val="ListParagraph"/>
        <w:numPr>
          <w:ilvl w:val="0"/>
          <w:numId w:val="2"/>
        </w:numPr>
        <w:spacing w:after="60" w:before="60"/>
      </w:pPr>
      <w:r>
        <w:rPr>
          <w:rFonts w:ascii="Arial" w:cs="Arial" w:eastAsia="Arial" w:hAnsi="Arial"/>
          <w:color w:val="222222"/>
          <w:sz w:val="20"/>
          <w:szCs w:val="20"/>
        </w:rPr>
        <w:t xml:space="preserve">KEEP MOVING at all times. Walkers must remain in continuous forward motion throughout the session.</w:t>
      </w:r>
    </w:p>
    <w:p>
      <w:pPr>
        <w:pStyle w:val="ListParagraph"/>
        <w:numPr>
          <w:ilvl w:val="0"/>
          <w:numId w:val="2"/>
        </w:numPr>
        <w:spacing w:after="60" w:before="60"/>
      </w:pPr>
      <w:r>
        <w:rPr>
          <w:rFonts w:ascii="Arial" w:cs="Arial" w:eastAsia="Arial" w:hAnsi="Arial"/>
          <w:color w:val="222222"/>
          <w:sz w:val="20"/>
          <w:szCs w:val="20"/>
        </w:rPr>
        <w:t xml:space="preserve">NO STOPPING in place to act as a stationary display, human sign post, or advertising stand.</w:t>
      </w:r>
    </w:p>
    <w:p>
      <w:pPr>
        <w:pStyle w:val="ListParagraph"/>
        <w:numPr>
          <w:ilvl w:val="0"/>
          <w:numId w:val="2"/>
        </w:numPr>
        <w:spacing w:after="60" w:before="60"/>
      </w:pPr>
      <w:r>
        <w:rPr>
          <w:rFonts w:ascii="Arial" w:cs="Arial" w:eastAsia="Arial" w:hAnsi="Arial"/>
          <w:color w:val="222222"/>
          <w:sz w:val="20"/>
          <w:szCs w:val="20"/>
        </w:rPr>
        <w:t xml:space="preserve">NO LOITERING near building entrances, storefronts, bus stops, transit shelters, or any fixed infrastructure.</w:t>
      </w:r>
    </w:p>
    <w:p>
      <w:pPr>
        <w:pStyle w:val="ListParagraph"/>
        <w:numPr>
          <w:ilvl w:val="0"/>
          <w:numId w:val="2"/>
        </w:numPr>
        <w:spacing w:after="60" w:before="60"/>
      </w:pPr>
      <w:r>
        <w:rPr>
          <w:rFonts w:ascii="Arial" w:cs="Arial" w:eastAsia="Arial" w:hAnsi="Arial"/>
          <w:color w:val="222222"/>
          <w:sz w:val="20"/>
          <w:szCs w:val="20"/>
        </w:rPr>
        <w:t xml:space="preserve">MAINTAIN MINIMUM 36 INCHES of clear pedestrian passage on all sidewalks at all times. Never narrow the walkable path below this threshold.</w:t>
      </w:r>
    </w:p>
    <w:p>
      <w:pPr>
        <w:pStyle w:val="ListParagraph"/>
        <w:numPr>
          <w:ilvl w:val="0"/>
          <w:numId w:val="2"/>
        </w:numPr>
        <w:spacing w:after="60" w:before="60"/>
      </w:pPr>
      <w:r>
        <w:rPr>
          <w:rFonts w:ascii="Arial" w:cs="Arial" w:eastAsia="Arial" w:hAnsi="Arial"/>
          <w:color w:val="222222"/>
          <w:sz w:val="20"/>
          <w:szCs w:val="20"/>
        </w:rPr>
        <w:t xml:space="preserve">NO CLUSTERING — walkers must maintain at least 20 feet of separation from other WalkMyAds walkers when operating in the same area.</w:t>
      </w:r>
    </w:p>
    <w:p>
      <w:pPr>
        <w:pStyle w:val="ListParagraph"/>
        <w:numPr>
          <w:ilvl w:val="0"/>
          <w:numId w:val="2"/>
        </w:numPr>
        <w:spacing w:after="60" w:before="60"/>
      </w:pPr>
      <w:r>
        <w:rPr>
          <w:rFonts w:ascii="Arial" w:cs="Arial" w:eastAsia="Arial" w:hAnsi="Arial"/>
          <w:color w:val="222222"/>
          <w:sz w:val="20"/>
          <w:szCs w:val="20"/>
        </w:rPr>
        <w:t xml:space="preserve">NO SOLICITATION — walkers must not verbally pitch, hand out materials, or actively approach members of the public unless expressly approved in writing by WalkMyAds management.</w:t>
      </w:r>
    </w:p>
    <w:p>
      <w:pPr>
        <w:pStyle w:val="ListParagraph"/>
        <w:numPr>
          <w:ilvl w:val="0"/>
          <w:numId w:val="2"/>
        </w:numPr>
        <w:spacing w:after="60" w:before="60"/>
      </w:pPr>
      <w:r>
        <w:rPr>
          <w:rFonts w:ascii="Arial" w:cs="Arial" w:eastAsia="Arial" w:hAnsi="Arial"/>
          <w:color w:val="222222"/>
          <w:sz w:val="20"/>
          <w:szCs w:val="20"/>
        </w:rPr>
        <w:t xml:space="preserve">STAY ON PUBLIC SIDEWALKS only. Do not enter private property, mall concourses, transit platforms, or restricted areas without prior written permission.</w:t>
      </w:r>
    </w:p>
    <w:p>
      <w:pPr>
        <w:spacing w:after="80" w:before="160"/>
      </w:pPr>
    </w:p>
    <w:p>
      <w:pPr>
        <w:pBdr>
          <w:bottom w:val="single" w:color="1A7A4A" w:sz="6" w:space="4"/>
        </w:pBdr>
        <w:spacing w:after="100" w:before="280"/>
      </w:pPr>
      <w:r>
        <w:rPr>
          <w:rFonts w:ascii="Arial" w:cs="Arial" w:eastAsia="Arial" w:hAnsi="Arial"/>
          <w:b/>
          <w:bCs/>
          <w:caps/>
          <w:color w:val="1A7A4A"/>
          <w:sz w:val="22"/>
          <w:szCs w:val="22"/>
        </w:rPr>
        <w:t xml:space="preserve">4. NO-GO ZONES  (MANDATORY)</w:t>
      </w:r>
    </w:p>
    <w:p>
      <w:pPr>
        <w:spacing w:after="80" w:before="80"/>
      </w:pPr>
      <w:r>
        <w:rPr>
          <w:rFonts w:ascii="Arial" w:cs="Arial" w:eastAsia="Arial" w:hAnsi="Arial"/>
          <w:color w:val="222222"/>
          <w:sz w:val="20"/>
          <w:szCs w:val="20"/>
        </w:rPr>
        <w:t xml:space="preserve">Walkers must not operate in the following locations:</w:t>
      </w:r>
    </w:p>
    <w:p>
      <w:pPr>
        <w:spacing w:after="40" w:before="80"/>
      </w:pPr>
    </w:p>
    <w:p>
      <w:pPr>
        <w:pStyle w:val="ListParagraph"/>
        <w:numPr>
          <w:ilvl w:val="0"/>
          <w:numId w:val="2"/>
        </w:numPr>
        <w:spacing w:after="60" w:before="60"/>
      </w:pPr>
      <w:r>
        <w:rPr>
          <w:rFonts w:ascii="Arial" w:cs="Arial" w:eastAsia="Arial" w:hAnsi="Arial"/>
          <w:color w:val="222222"/>
          <w:sz w:val="20"/>
          <w:szCs w:val="20"/>
        </w:rPr>
        <w:t xml:space="preserve">Within 15 feet of any curb ramp, ADA ramp, or accessible parking space</w:t>
      </w:r>
    </w:p>
    <w:p>
      <w:pPr>
        <w:pStyle w:val="ListParagraph"/>
        <w:numPr>
          <w:ilvl w:val="0"/>
          <w:numId w:val="2"/>
        </w:numPr>
        <w:spacing w:after="60" w:before="60"/>
      </w:pPr>
      <w:r>
        <w:rPr>
          <w:rFonts w:ascii="Arial" w:cs="Arial" w:eastAsia="Arial" w:hAnsi="Arial"/>
          <w:color w:val="222222"/>
          <w:sz w:val="20"/>
          <w:szCs w:val="20"/>
        </w:rPr>
        <w:t xml:space="preserve">Within 15 feet of any crosswalk approach or intersection corner</w:t>
      </w:r>
    </w:p>
    <w:p>
      <w:pPr>
        <w:pStyle w:val="ListParagraph"/>
        <w:numPr>
          <w:ilvl w:val="0"/>
          <w:numId w:val="2"/>
        </w:numPr>
        <w:spacing w:after="60" w:before="60"/>
      </w:pPr>
      <w:r>
        <w:rPr>
          <w:rFonts w:ascii="Arial" w:cs="Arial" w:eastAsia="Arial" w:hAnsi="Arial"/>
          <w:color w:val="222222"/>
          <w:sz w:val="20"/>
          <w:szCs w:val="20"/>
        </w:rPr>
        <w:t xml:space="preserve">Within 100 feet of any active school entrance during school arrival or dismissal hours</w:t>
      </w:r>
    </w:p>
    <w:p>
      <w:pPr>
        <w:pStyle w:val="ListParagraph"/>
        <w:numPr>
          <w:ilvl w:val="0"/>
          <w:numId w:val="2"/>
        </w:numPr>
        <w:spacing w:after="60" w:before="60"/>
      </w:pPr>
      <w:r>
        <w:rPr>
          <w:rFonts w:ascii="Arial" w:cs="Arial" w:eastAsia="Arial" w:hAnsi="Arial"/>
          <w:color w:val="222222"/>
          <w:sz w:val="20"/>
          <w:szCs w:val="20"/>
        </w:rPr>
        <w:t xml:space="preserve">At any bus stop, transit shelter, or light rail platform</w:t>
      </w:r>
    </w:p>
    <w:p>
      <w:pPr>
        <w:pStyle w:val="ListParagraph"/>
        <w:numPr>
          <w:ilvl w:val="0"/>
          <w:numId w:val="2"/>
        </w:numPr>
        <w:spacing w:after="60" w:before="60"/>
      </w:pPr>
      <w:r>
        <w:rPr>
          <w:rFonts w:ascii="Arial" w:cs="Arial" w:eastAsia="Arial" w:hAnsi="Arial"/>
          <w:color w:val="222222"/>
          <w:sz w:val="20"/>
          <w:szCs w:val="20"/>
        </w:rPr>
        <w:t xml:space="preserve">On any sidewalk narrower than 6 feet total width</w:t>
      </w:r>
    </w:p>
    <w:p>
      <w:pPr>
        <w:pStyle w:val="ListParagraph"/>
        <w:numPr>
          <w:ilvl w:val="0"/>
          <w:numId w:val="2"/>
        </w:numPr>
        <w:spacing w:after="60" w:before="60"/>
      </w:pPr>
      <w:r>
        <w:rPr>
          <w:rFonts w:ascii="Arial" w:cs="Arial" w:eastAsia="Arial" w:hAnsi="Arial"/>
          <w:color w:val="222222"/>
          <w:sz w:val="20"/>
          <w:szCs w:val="20"/>
        </w:rPr>
        <w:t xml:space="preserve">In any area under active construction, temporary closure, or special-event restriction</w:t>
      </w:r>
    </w:p>
    <w:p>
      <w:pPr>
        <w:pStyle w:val="ListParagraph"/>
        <w:numPr>
          <w:ilvl w:val="0"/>
          <w:numId w:val="2"/>
        </w:numPr>
        <w:spacing w:after="60" w:before="60"/>
      </w:pPr>
      <w:r>
        <w:rPr>
          <w:rFonts w:ascii="Arial" w:cs="Arial" w:eastAsia="Arial" w:hAnsi="Arial"/>
          <w:color w:val="222222"/>
          <w:sz w:val="20"/>
          <w:szCs w:val="20"/>
        </w:rPr>
        <w:t xml:space="preserve">Downtown Cincinnati form-based-code corridors — PENDING city confirmation from DOTE</w:t>
      </w:r>
    </w:p>
    <w:p>
      <w:pPr>
        <w:spacing w:after="80" w:before="160"/>
      </w:pPr>
    </w:p>
    <w:p>
      <w:pPr>
        <w:pBdr>
          <w:bottom w:val="single" w:color="1A7A4A" w:sz="6" w:space="4"/>
        </w:pBdr>
        <w:spacing w:after="100" w:before="280"/>
      </w:pPr>
      <w:r>
        <w:rPr>
          <w:rFonts w:ascii="Arial" w:cs="Arial" w:eastAsia="Arial" w:hAnsi="Arial"/>
          <w:b/>
          <w:bCs/>
          <w:caps/>
          <w:color w:val="1A7A4A"/>
          <w:sz w:val="22"/>
          <w:szCs w:val="22"/>
        </w:rPr>
        <w:t xml:space="preserve">5. CAMERA &amp; PRIVACY RULES</w:t>
      </w:r>
    </w:p>
    <w:p>
      <w:pPr>
        <w:spacing w:after="80" w:before="80"/>
      </w:pPr>
      <w:r>
        <w:rPr>
          <w:rFonts w:ascii="Arial" w:cs="Arial" w:eastAsia="Arial" w:hAnsi="Arial"/>
          <w:color w:val="222222"/>
          <w:sz w:val="20"/>
          <w:szCs w:val="20"/>
        </w:rPr>
        <w:t xml:space="preserve">The OAK-1 camera system is configured for anonymous foot-traffic impression counting only. The following rules are absolute:</w:t>
      </w:r>
    </w:p>
    <w:p>
      <w:pPr>
        <w:spacing w:after="40" w:before="80"/>
      </w:pPr>
    </w:p>
    <w:p>
      <w:pPr>
        <w:pStyle w:val="ListParagraph"/>
        <w:numPr>
          <w:ilvl w:val="0"/>
          <w:numId w:val="2"/>
        </w:numPr>
        <w:spacing w:after="60" w:before="60"/>
      </w:pPr>
      <w:r>
        <w:rPr>
          <w:rFonts w:ascii="Arial" w:cs="Arial" w:eastAsia="Arial" w:hAnsi="Arial"/>
          <w:color w:val="222222"/>
          <w:sz w:val="20"/>
          <w:szCs w:val="20"/>
        </w:rPr>
        <w:t xml:space="preserve">NO AUDIO RECORDING — the device does not and must not capture any audio at any time.</w:t>
      </w:r>
    </w:p>
    <w:p>
      <w:pPr>
        <w:pStyle w:val="ListParagraph"/>
        <w:numPr>
          <w:ilvl w:val="0"/>
          <w:numId w:val="2"/>
        </w:numPr>
        <w:spacing w:after="60" w:before="60"/>
      </w:pPr>
      <w:r>
        <w:rPr>
          <w:rFonts w:ascii="Arial" w:cs="Arial" w:eastAsia="Arial" w:hAnsi="Arial"/>
          <w:color w:val="222222"/>
          <w:sz w:val="20"/>
          <w:szCs w:val="20"/>
        </w:rPr>
        <w:t xml:space="preserve">NO FACIAL RECOGNITION — the system uses anonymous person-detection only. No identity inference, no face matching, no biometric data.</w:t>
      </w:r>
    </w:p>
    <w:p>
      <w:pPr>
        <w:pStyle w:val="ListParagraph"/>
        <w:numPr>
          <w:ilvl w:val="0"/>
          <w:numId w:val="2"/>
        </w:numPr>
        <w:spacing w:after="60" w:before="60"/>
      </w:pPr>
      <w:r>
        <w:rPr>
          <w:rFonts w:ascii="Arial" w:cs="Arial" w:eastAsia="Arial" w:hAnsi="Arial"/>
          <w:color w:val="222222"/>
          <w:sz w:val="20"/>
          <w:szCs w:val="20"/>
        </w:rPr>
        <w:t xml:space="preserve">NO STORED PERSONAL DATA — impression counts are aggregated and transmitted to reporting systems. No individual images or identifiable data are retained.</w:t>
      </w:r>
    </w:p>
    <w:p>
      <w:pPr>
        <w:pStyle w:val="ListParagraph"/>
        <w:numPr>
          <w:ilvl w:val="0"/>
          <w:numId w:val="2"/>
        </w:numPr>
        <w:spacing w:after="60" w:before="60"/>
      </w:pPr>
      <w:r>
        <w:rPr>
          <w:rFonts w:ascii="Arial" w:cs="Arial" w:eastAsia="Arial" w:hAnsi="Arial"/>
          <w:color w:val="222222"/>
          <w:sz w:val="20"/>
          <w:szCs w:val="20"/>
        </w:rPr>
        <w:t xml:space="preserve">If any walker believes the device is capturing audio or storing imagery beyond impression counts, they must report it immediately to WalkMyAds management and pause the session.</w:t>
      </w:r>
    </w:p>
    <w:p>
      <w:pPr>
        <w:spacing w:after="40" w:before="80"/>
      </w:pPr>
    </w:p>
    <w:p>
      <w:pPr>
        <w:spacing w:after="80" w:before="80"/>
      </w:pPr>
      <w:r>
        <w:rPr>
          <w:rFonts w:ascii="Arial" w:cs="Arial" w:eastAsia="Arial" w:hAnsi="Arial"/>
          <w:color w:val="222222"/>
          <w:sz w:val="20"/>
          <w:szCs w:val="20"/>
        </w:rPr>
        <w:t xml:space="preserve">WalkMyAds maintains a public-facing privacy notice describing the camera system as anonymous foot-traffic analytics only, available at walkmyads.com.</w:t>
      </w:r>
    </w:p>
    <w:p>
      <w:pPr>
        <w:spacing w:after="80" w:before="160"/>
      </w:pPr>
    </w:p>
    <w:p>
      <w:pPr>
        <w:pBdr>
          <w:bottom w:val="single" w:color="1A7A4A" w:sz="6" w:space="4"/>
        </w:pBdr>
        <w:spacing w:after="100" w:before="280"/>
      </w:pPr>
      <w:r>
        <w:rPr>
          <w:rFonts w:ascii="Arial" w:cs="Arial" w:eastAsia="Arial" w:hAnsi="Arial"/>
          <w:b/>
          <w:bCs/>
          <w:caps/>
          <w:color w:val="1A7A4A"/>
          <w:sz w:val="22"/>
          <w:szCs w:val="22"/>
        </w:rPr>
        <w:t xml:space="preserve">6. COMPLIANCE RISK SUMMARY</w:t>
      </w:r>
    </w:p>
    <w:p>
      <w:pPr>
        <w:spacing w:after="80" w:before="80"/>
      </w:pPr>
      <w:r>
        <w:rPr>
          <w:rFonts w:ascii="Arial" w:cs="Arial" w:eastAsia="Arial" w:hAnsi="Arial"/>
          <w:color w:val="222222"/>
          <w:sz w:val="20"/>
          <w:szCs w:val="20"/>
        </w:rPr>
        <w:t xml:space="preserve">Current risk assessment pending formal written determinations from Cincinnati DOTE and Finance/Treasury:</w:t>
      </w:r>
    </w:p>
    <w:p>
      <w:pPr>
        <w:spacing w:after="60"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0"/>
        <w:gridCol w:w="3200"/>
        <w:gridCol w:w="3400"/>
        <w:gridCol w:w="2280"/>
      </w:tblGrid>
      <w:tr>
        <w:tc>
          <w:tcPr>
            <w:tcW w:type="dxa" w:w="1200"/>
            <w:tcBorders>
              <w:top w:val="single" w:color="444444" w:sz="1"/>
              <w:left w:val="single" w:color="444444" w:sz="1"/>
              <w:bottom w:val="single" w:color="444444" w:sz="1"/>
              <w:right w:val="single" w:color="444444" w:sz="1"/>
            </w:tcBorders>
            <w:shd w:fill="1E2533" w:val="clear"/>
            <w:tcMar>
              <w:top w:type="dxa" w:w="100"/>
              <w:left w:type="dxa" w:w="140"/>
              <w:bottom w:type="dxa" w:w="100"/>
              <w:right w:type="dxa" w:w="140"/>
            </w:tcMar>
          </w:tcPr>
          <w:p>
            <w:r>
              <w:rPr>
                <w:rFonts w:ascii="Arial" w:cs="Arial" w:eastAsia="Arial" w:hAnsi="Arial"/>
                <w:b/>
                <w:bCs/>
                <w:color w:val="FFFFFF"/>
                <w:sz w:val="20"/>
                <w:szCs w:val="20"/>
              </w:rPr>
              <w:t xml:space="preserve">Risk</w:t>
            </w:r>
          </w:p>
        </w:tc>
        <w:tc>
          <w:tcPr>
            <w:tcW w:type="dxa" w:w="3200"/>
            <w:tcBorders>
              <w:top w:val="single" w:color="444444" w:sz="1"/>
              <w:left w:val="single" w:color="444444" w:sz="1"/>
              <w:bottom w:val="single" w:color="444444" w:sz="1"/>
              <w:right w:val="single" w:color="444444" w:sz="1"/>
            </w:tcBorders>
            <w:shd w:fill="1E2533" w:val="clear"/>
            <w:tcMar>
              <w:top w:type="dxa" w:w="100"/>
              <w:left w:type="dxa" w:w="140"/>
              <w:bottom w:type="dxa" w:w="100"/>
              <w:right w:type="dxa" w:w="140"/>
            </w:tcMar>
          </w:tcPr>
          <w:p>
            <w:r>
              <w:rPr>
                <w:rFonts w:ascii="Arial" w:cs="Arial" w:eastAsia="Arial" w:hAnsi="Arial"/>
                <w:b/>
                <w:bCs/>
                <w:color w:val="FFFFFF"/>
                <w:sz w:val="20"/>
                <w:szCs w:val="20"/>
              </w:rPr>
              <w:t xml:space="preserve">Issue</w:t>
            </w:r>
          </w:p>
        </w:tc>
        <w:tc>
          <w:tcPr>
            <w:tcW w:type="dxa" w:w="3400"/>
            <w:tcBorders>
              <w:top w:val="single" w:color="444444" w:sz="1"/>
              <w:left w:val="single" w:color="444444" w:sz="1"/>
              <w:bottom w:val="single" w:color="444444" w:sz="1"/>
              <w:right w:val="single" w:color="444444" w:sz="1"/>
            </w:tcBorders>
            <w:shd w:fill="1E2533" w:val="clear"/>
            <w:tcMar>
              <w:top w:type="dxa" w:w="100"/>
              <w:left w:type="dxa" w:w="140"/>
              <w:bottom w:type="dxa" w:w="100"/>
              <w:right w:type="dxa" w:w="140"/>
            </w:tcMar>
          </w:tcPr>
          <w:p>
            <w:r>
              <w:rPr>
                <w:rFonts w:ascii="Arial" w:cs="Arial" w:eastAsia="Arial" w:hAnsi="Arial"/>
                <w:b/>
                <w:bCs/>
                <w:color w:val="FFFFFF"/>
                <w:sz w:val="20"/>
                <w:szCs w:val="20"/>
              </w:rPr>
              <w:t xml:space="preserve">Mitigation</w:t>
            </w:r>
          </w:p>
        </w:tc>
        <w:tc>
          <w:tcPr>
            <w:tcW w:type="dxa" w:w="2280"/>
            <w:tcBorders>
              <w:top w:val="single" w:color="444444" w:sz="1"/>
              <w:left w:val="single" w:color="444444" w:sz="1"/>
              <w:bottom w:val="single" w:color="444444" w:sz="1"/>
              <w:right w:val="single" w:color="444444" w:sz="1"/>
            </w:tcBorders>
            <w:shd w:fill="1E2533" w:val="clear"/>
            <w:tcMar>
              <w:top w:type="dxa" w:w="100"/>
              <w:left w:type="dxa" w:w="140"/>
              <w:bottom w:type="dxa" w:w="100"/>
              <w:right w:type="dxa" w:w="140"/>
            </w:tcMar>
          </w:tcPr>
          <w:p>
            <w:r>
              <w:rPr>
                <w:rFonts w:ascii="Arial" w:cs="Arial" w:eastAsia="Arial" w:hAnsi="Arial"/>
                <w:b/>
                <w:bCs/>
                <w:color w:val="FFFFFF"/>
                <w:sz w:val="20"/>
                <w:szCs w:val="20"/>
              </w:rPr>
              <w:t xml:space="preserve">Status</w:t>
            </w:r>
          </w:p>
        </w:tc>
      </w:tr>
      <w:tr>
        <w:tc>
          <w:tcPr>
            <w:tcW w:type="dxa" w:w="1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vAlign w:val="center"/>
          </w:tcPr>
          <w:p>
            <w:pPr>
              <w:jc w:val="center"/>
            </w:pPr>
            <w:r>
              <w:rPr>
                <w:rFonts w:ascii="Arial" w:cs="Arial" w:eastAsia="Arial" w:hAnsi="Arial"/>
                <w:b/>
                <w:bCs/>
                <w:color w:val="FF0000"/>
                <w:sz w:val="18"/>
                <w:szCs w:val="18"/>
              </w:rPr>
              <w:t xml:space="preserve">RED</w:t>
            </w:r>
          </w:p>
        </w:tc>
        <w:tc>
          <w:tcPr>
            <w:tcW w:type="dxa" w:w="3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Peddler/itinerant vendor classification</w:t>
            </w:r>
          </w:p>
        </w:tc>
        <w:tc>
          <w:tcPr>
            <w:tcW w:type="dxa" w:w="34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No direct sales, no handbills, no verbal solicitation</w:t>
            </w:r>
          </w:p>
        </w:tc>
        <w:tc>
          <w:tcPr>
            <w:tcW w:type="dxa" w:w="228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Email sent to Finance/Treasury — awaiting reply</w:t>
            </w:r>
          </w:p>
        </w:tc>
      </w:tr>
      <w:tr>
        <w:tc>
          <w:tcPr>
            <w:tcW w:type="dxa" w:w="1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vAlign w:val="center"/>
          </w:tcPr>
          <w:p>
            <w:pPr>
              <w:jc w:val="center"/>
            </w:pPr>
            <w:r>
              <w:rPr>
                <w:rFonts w:ascii="Arial" w:cs="Arial" w:eastAsia="Arial" w:hAnsi="Arial"/>
                <w:b/>
                <w:bCs/>
                <w:color w:val="FF0000"/>
                <w:sz w:val="18"/>
                <w:szCs w:val="18"/>
              </w:rPr>
              <w:t xml:space="preserve">RED</w:t>
            </w:r>
          </w:p>
        </w:tc>
        <w:tc>
          <w:tcPr>
            <w:tcW w:type="dxa" w:w="32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Right-of-way / Revocable Street Privilege</w:t>
            </w:r>
          </w:p>
        </w:tc>
        <w:tc>
          <w:tcPr>
            <w:tcW w:type="dxa" w:w="34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Continuous movement, no fixed position, compliant hardware spec</w:t>
            </w:r>
          </w:p>
        </w:tc>
        <w:tc>
          <w:tcPr>
            <w:tcW w:type="dxa" w:w="228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Email sent to DOTE — awaiting reply</w:t>
            </w:r>
          </w:p>
        </w:tc>
      </w:tr>
      <w:tr>
        <w:tc>
          <w:tcPr>
            <w:tcW w:type="dxa" w:w="1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vAlign w:val="center"/>
          </w:tcPr>
          <w:p>
            <w:pPr>
              <w:jc w:val="center"/>
            </w:pPr>
            <w:r>
              <w:rPr>
                <w:rFonts w:ascii="Arial" w:cs="Arial" w:eastAsia="Arial" w:hAnsi="Arial"/>
                <w:b/>
                <w:bCs/>
                <w:color w:val="FF0000"/>
                <w:sz w:val="18"/>
                <w:szCs w:val="18"/>
              </w:rPr>
              <w:t xml:space="preserve">RED</w:t>
            </w:r>
          </w:p>
        </w:tc>
        <w:tc>
          <w:tcPr>
            <w:tcW w:type="dxa" w:w="3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ADA sidewalk clearance obstruction</w:t>
            </w:r>
          </w:p>
        </w:tc>
        <w:tc>
          <w:tcPr>
            <w:tcW w:type="dxa" w:w="34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36-inch clearance rule, no stopping, 20-foot walker spacing</w:t>
            </w:r>
          </w:p>
        </w:tc>
        <w:tc>
          <w:tcPr>
            <w:tcW w:type="dxa" w:w="228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Addressed in this policy</w:t>
            </w:r>
          </w:p>
        </w:tc>
      </w:tr>
      <w:tr>
        <w:tc>
          <w:tcPr>
            <w:tcW w:type="dxa" w:w="1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vAlign w:val="center"/>
          </w:tcPr>
          <w:p>
            <w:pPr>
              <w:jc w:val="center"/>
            </w:pPr>
            <w:r>
              <w:rPr>
                <w:rFonts w:ascii="Arial" w:cs="Arial" w:eastAsia="Arial" w:hAnsi="Arial"/>
                <w:b/>
                <w:bCs/>
                <w:color w:val="E6B800"/>
                <w:sz w:val="18"/>
                <w:szCs w:val="18"/>
              </w:rPr>
              <w:t xml:space="preserve">YLW</w:t>
            </w:r>
          </w:p>
        </w:tc>
        <w:tc>
          <w:tcPr>
            <w:tcW w:type="dxa" w:w="32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Downtown / form-based-code enforcement</w:t>
            </w:r>
          </w:p>
        </w:tc>
        <w:tc>
          <w:tcPr>
            <w:tcW w:type="dxa" w:w="34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Holding downtown deployment until DOTE confirmation received</w:t>
            </w:r>
          </w:p>
        </w:tc>
        <w:tc>
          <w:tcPr>
            <w:tcW w:type="dxa" w:w="228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Pending DOTE reply</w:t>
            </w:r>
          </w:p>
        </w:tc>
      </w:tr>
      <w:tr>
        <w:tc>
          <w:tcPr>
            <w:tcW w:type="dxa" w:w="1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vAlign w:val="center"/>
          </w:tcPr>
          <w:p>
            <w:pPr>
              <w:jc w:val="center"/>
            </w:pPr>
            <w:r>
              <w:rPr>
                <w:rFonts w:ascii="Arial" w:cs="Arial" w:eastAsia="Arial" w:hAnsi="Arial"/>
                <w:b/>
                <w:bCs/>
                <w:color w:val="E6B800"/>
                <w:sz w:val="18"/>
                <w:szCs w:val="18"/>
              </w:rPr>
              <w:t xml:space="preserve">YLW</w:t>
            </w:r>
          </w:p>
        </w:tc>
        <w:tc>
          <w:tcPr>
            <w:tcW w:type="dxa" w:w="3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Camera / privacy (OAK-1)</w:t>
            </w:r>
          </w:p>
        </w:tc>
        <w:tc>
          <w:tcPr>
            <w:tcW w:type="dxa" w:w="34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No audio, no facial recognition, no stored personal data</w:t>
            </w:r>
          </w:p>
        </w:tc>
        <w:tc>
          <w:tcPr>
            <w:tcW w:type="dxa" w:w="228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Addressed in this policy</w:t>
            </w:r>
          </w:p>
        </w:tc>
      </w:tr>
      <w:tr>
        <w:tc>
          <w:tcPr>
            <w:tcW w:type="dxa" w:w="1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vAlign w:val="center"/>
          </w:tcPr>
          <w:p>
            <w:pPr>
              <w:jc w:val="center"/>
            </w:pPr>
            <w:r>
              <w:rPr>
                <w:rFonts w:ascii="Arial" w:cs="Arial" w:eastAsia="Arial" w:hAnsi="Arial"/>
                <w:b/>
                <w:bCs/>
                <w:color w:val="E6B800"/>
                <w:sz w:val="18"/>
                <w:szCs w:val="18"/>
              </w:rPr>
              <w:t xml:space="preserve">YLW</w:t>
            </w:r>
          </w:p>
        </w:tc>
        <w:tc>
          <w:tcPr>
            <w:tcW w:type="dxa" w:w="32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Walker classification (contractor vs employee)</w:t>
            </w:r>
          </w:p>
        </w:tc>
        <w:tc>
          <w:tcPr>
            <w:tcW w:type="dxa" w:w="34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Walkers treated as employees given GPS, route, and equipment control</w:t>
            </w:r>
          </w:p>
        </w:tc>
        <w:tc>
          <w:tcPr>
            <w:tcW w:type="dxa" w:w="228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Employee model adopted</w:t>
            </w:r>
          </w:p>
        </w:tc>
      </w:tr>
      <w:tr>
        <w:tc>
          <w:tcPr>
            <w:tcW w:type="dxa" w:w="1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vAlign w:val="center"/>
          </w:tcPr>
          <w:p>
            <w:pPr>
              <w:jc w:val="center"/>
            </w:pPr>
            <w:r>
              <w:rPr>
                <w:rFonts w:ascii="Arial" w:cs="Arial" w:eastAsia="Arial" w:hAnsi="Arial"/>
                <w:b/>
                <w:bCs/>
                <w:color w:val="1A7A4A"/>
                <w:sz w:val="18"/>
                <w:szCs w:val="18"/>
              </w:rPr>
              <w:t xml:space="preserve">GRN</w:t>
            </w:r>
          </w:p>
        </w:tc>
        <w:tc>
          <w:tcPr>
            <w:tcW w:type="dxa" w:w="3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Ohio state-law ban on wearable advertising</w:t>
            </w:r>
          </w:p>
        </w:tc>
        <w:tc>
          <w:tcPr>
            <w:tcW w:type="dxa" w:w="34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No applicable ORC section found — municipal code governs</w:t>
            </w:r>
          </w:p>
        </w:tc>
        <w:tc>
          <w:tcPr>
            <w:tcW w:type="dxa" w:w="228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Clear</w:t>
            </w:r>
          </w:p>
        </w:tc>
      </w:tr>
      <w:tr>
        <w:tc>
          <w:tcPr>
            <w:tcW w:type="dxa" w:w="120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vAlign w:val="center"/>
          </w:tcPr>
          <w:p>
            <w:pPr>
              <w:jc w:val="center"/>
            </w:pPr>
            <w:r>
              <w:rPr>
                <w:rFonts w:ascii="Arial" w:cs="Arial" w:eastAsia="Arial" w:hAnsi="Arial"/>
                <w:b/>
                <w:bCs/>
                <w:color w:val="1A7A4A"/>
                <w:sz w:val="18"/>
                <w:szCs w:val="18"/>
              </w:rPr>
              <w:t xml:space="preserve">GRN</w:t>
            </w:r>
          </w:p>
        </w:tc>
        <w:tc>
          <w:tcPr>
            <w:tcW w:type="dxa" w:w="32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Business registration &amp; tax setup</w:t>
            </w:r>
          </w:p>
        </w:tc>
        <w:tc>
          <w:tcPr>
            <w:tcW w:type="dxa" w:w="3400"/>
            <w:tcBorders>
              <w:top w:val="single" w:color="D0D5DE" w:sz="1"/>
              <w:left w:val="single" w:color="D0D5DE" w:sz="1"/>
              <w:bottom w:val="single" w:color="D0D5DE" w:sz="1"/>
              <w:right w:val="single" w:color="D0D5DE" w:sz="1"/>
            </w:tcBorders>
            <w:shd w:fill="F4F6F9" w:val="clear"/>
            <w:tcMar>
              <w:top w:type="dxa" w:w="90"/>
              <w:left w:type="dxa" w:w="140"/>
              <w:bottom w:type="dxa" w:w="90"/>
              <w:right w:type="dxa" w:w="140"/>
            </w:tcMar>
          </w:tcPr>
          <w:p>
            <w:r>
              <w:rPr>
                <w:rFonts w:ascii="Arial" w:cs="Arial" w:eastAsia="Arial" w:hAnsi="Arial"/>
                <w:b w:val="false"/>
                <w:bCs w:val="false"/>
                <w:color w:val="222222"/>
                <w:sz w:val="19"/>
                <w:szCs w:val="19"/>
              </w:rPr>
              <w:t xml:space="preserve">Ohio entity registration, local tax, vendor license — standard process</w:t>
            </w:r>
          </w:p>
        </w:tc>
        <w:tc>
          <w:tcPr>
            <w:tcW w:type="dxa" w:w="2280"/>
            <w:tcBorders>
              <w:top w:val="single" w:color="D0D5DE" w:sz="1"/>
              <w:left w:val="single" w:color="D0D5DE" w:sz="1"/>
              <w:bottom w:val="single" w:color="D0D5DE" w:sz="1"/>
              <w:right w:val="single" w:color="D0D5DE" w:sz="1"/>
            </w:tcBorders>
            <w:shd w:fill="FFFFFF" w:val="clear"/>
            <w:tcMar>
              <w:top w:type="dxa" w:w="90"/>
              <w:left w:type="dxa" w:w="140"/>
              <w:bottom w:type="dxa" w:w="90"/>
              <w:right w:type="dxa" w:w="140"/>
            </w:tcMar>
          </w:tcPr>
          <w:p>
            <w:r>
              <w:rPr>
                <w:rFonts w:ascii="Arial" w:cs="Arial" w:eastAsia="Arial" w:hAnsi="Arial"/>
                <w:b w:val="false"/>
                <w:bCs w:val="false"/>
                <w:color w:val="222222"/>
                <w:sz w:val="19"/>
                <w:szCs w:val="19"/>
              </w:rPr>
              <w:t xml:space="preserve">In progress</w:t>
            </w:r>
          </w:p>
        </w:tc>
      </w:tr>
    </w:tbl>
    <w:p>
      <w:pPr>
        <w:spacing w:after="80" w:before="160"/>
      </w:pPr>
    </w:p>
    <w:p>
      <w:pPr>
        <w:pBdr>
          <w:bottom w:val="single" w:color="1A7A4A" w:sz="6" w:space="4"/>
        </w:pBdr>
        <w:spacing w:after="100" w:before="280"/>
      </w:pPr>
      <w:r>
        <w:rPr>
          <w:rFonts w:ascii="Arial" w:cs="Arial" w:eastAsia="Arial" w:hAnsi="Arial"/>
          <w:b/>
          <w:bCs/>
          <w:caps/>
          <w:color w:val="1A7A4A"/>
          <w:sz w:val="22"/>
          <w:szCs w:val="22"/>
        </w:rPr>
        <w:t xml:space="preserve">7. WALKER ACKNOWLEDGMENT</w:t>
      </w:r>
    </w:p>
    <w:p>
      <w:pPr>
        <w:spacing w:after="80" w:before="80"/>
      </w:pPr>
      <w:r>
        <w:rPr>
          <w:rFonts w:ascii="Arial" w:cs="Arial" w:eastAsia="Arial" w:hAnsi="Arial"/>
          <w:color w:val="222222"/>
          <w:sz w:val="20"/>
          <w:szCs w:val="20"/>
        </w:rPr>
        <w:t xml:space="preserve">By signing below, the walker confirms they have read, understood, and agree to comply with all rules in this Operating Policy. Violation of any mandatory rule may result in immediate suspension of sessions.</w:t>
      </w:r>
    </w:p>
    <w:p>
      <w:pPr>
        <w:spacing w:after="80" w:before="20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0"/>
        <w:gridCol w:w="480"/>
        <w:gridCol w:w="4800"/>
      </w:tblGrid>
      <w:tr>
        <w:tc>
          <w:tcPr>
            <w:tcW w:type="dxa" w:w="4800"/>
            <w:tcBorders>
              <w:top w:val="none"/>
              <w:left w:val="none"/>
              <w:bottom w:val="none"/>
              <w:right w:val="none"/>
            </w:tcBorders>
          </w:tcPr>
          <w:p>
            <w:r>
              <w:rPr>
                <w:rFonts w:ascii="Arial" w:cs="Arial" w:eastAsia="Arial" w:hAnsi="Arial"/>
                <w:color w:val="888888"/>
                <w:sz w:val="18"/>
                <w:szCs w:val="18"/>
              </w:rPr>
              <w:t xml:space="preserve">Walker Name (Print)</w:t>
            </w:r>
          </w:p>
          <w:p>
            <w:pPr>
              <w:pBdr>
                <w:bottom w:val="single" w:color="D0D5DE" w:sz="4"/>
              </w:pBdr>
              <w:spacing w:after="80" w:before="480"/>
            </w:pPr>
          </w:p>
          <w:p>
            <w:pPr>
              <w:spacing w:after="40" w:before="160"/>
            </w:pPr>
          </w:p>
          <w:p>
            <w:r>
              <w:rPr>
                <w:rFonts w:ascii="Arial" w:cs="Arial" w:eastAsia="Arial" w:hAnsi="Arial"/>
                <w:color w:val="888888"/>
                <w:sz w:val="18"/>
                <w:szCs w:val="18"/>
              </w:rPr>
              <w:t xml:space="preserve">Signature</w:t>
            </w:r>
          </w:p>
          <w:p>
            <w:pPr>
              <w:pBdr>
                <w:bottom w:val="single" w:color="D0D5DE" w:sz="4"/>
              </w:pBdr>
              <w:spacing w:after="80" w:before="480"/>
            </w:pPr>
          </w:p>
          <w:p>
            <w:pPr>
              <w:spacing w:after="40" w:before="160"/>
            </w:pPr>
          </w:p>
          <w:p>
            <w:r>
              <w:rPr>
                <w:rFonts w:ascii="Arial" w:cs="Arial" w:eastAsia="Arial" w:hAnsi="Arial"/>
                <w:color w:val="888888"/>
                <w:sz w:val="18"/>
                <w:szCs w:val="18"/>
              </w:rPr>
              <w:t xml:space="preserve">Date</w:t>
            </w:r>
          </w:p>
          <w:p>
            <w:pPr>
              <w:pBdr>
                <w:bottom w:val="single" w:color="D0D5DE" w:sz="4"/>
              </w:pBdr>
              <w:spacing w:after="80" w:before="480"/>
            </w:pPr>
          </w:p>
        </w:tc>
        <w:tc>
          <w:tcPr>
            <w:tcW w:type="dxa" w:w="480"/>
            <w:tcBorders>
              <w:top w:val="none"/>
              <w:left w:val="none"/>
              <w:bottom w:val="none"/>
              <w:right w:val="none"/>
            </w:tcBorders>
          </w:tcPr>
          <w:p/>
        </w:tc>
        <w:tc>
          <w:tcPr>
            <w:tcW w:type="dxa" w:w="4800"/>
            <w:tcBorders>
              <w:top w:val="none"/>
              <w:left w:val="none"/>
              <w:bottom w:val="none"/>
              <w:right w:val="none"/>
            </w:tcBorders>
          </w:tcPr>
          <w:p>
            <w:r>
              <w:rPr>
                <w:rFonts w:ascii="Arial" w:cs="Arial" w:eastAsia="Arial" w:hAnsi="Arial"/>
                <w:color w:val="888888"/>
                <w:sz w:val="18"/>
                <w:szCs w:val="18"/>
              </w:rPr>
              <w:t xml:space="preserve">WalkMyAds Representative (Print)</w:t>
            </w:r>
          </w:p>
          <w:p>
            <w:pPr>
              <w:pBdr>
                <w:bottom w:val="single" w:color="D0D5DE" w:sz="4"/>
              </w:pBdr>
              <w:spacing w:after="80" w:before="480"/>
            </w:pPr>
          </w:p>
          <w:p>
            <w:pPr>
              <w:spacing w:after="40" w:before="160"/>
            </w:pPr>
          </w:p>
          <w:p>
            <w:r>
              <w:rPr>
                <w:rFonts w:ascii="Arial" w:cs="Arial" w:eastAsia="Arial" w:hAnsi="Arial"/>
                <w:color w:val="888888"/>
                <w:sz w:val="18"/>
                <w:szCs w:val="18"/>
              </w:rPr>
              <w:t xml:space="preserve">Signature</w:t>
            </w:r>
          </w:p>
          <w:p>
            <w:pPr>
              <w:pBdr>
                <w:bottom w:val="single" w:color="D0D5DE" w:sz="4"/>
              </w:pBdr>
              <w:spacing w:after="80" w:before="480"/>
            </w:pPr>
          </w:p>
          <w:p>
            <w:pPr>
              <w:spacing w:after="40" w:before="160"/>
            </w:pPr>
          </w:p>
          <w:p>
            <w:r>
              <w:rPr>
                <w:rFonts w:ascii="Arial" w:cs="Arial" w:eastAsia="Arial" w:hAnsi="Arial"/>
                <w:color w:val="888888"/>
                <w:sz w:val="18"/>
                <w:szCs w:val="18"/>
              </w:rPr>
              <w:t xml:space="preserve">Date</w:t>
            </w:r>
          </w:p>
          <w:p>
            <w:pPr>
              <w:pBdr>
                <w:bottom w:val="single" w:color="D0D5DE" w:sz="4"/>
              </w:pBdr>
              <w:spacing w:after="80" w:before="480"/>
            </w:pPr>
          </w:p>
        </w:tc>
      </w:tr>
    </w:tbl>
    <w:p>
      <w:pPr>
        <w:spacing w:after="80" w:before="20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1A7A4A" w:sz="1"/>
              <w:left w:val="single" w:color="1A7A4A" w:sz="1"/>
              <w:bottom w:val="single" w:color="1A7A4A" w:sz="1"/>
              <w:right w:val="single" w:color="1A7A4A" w:sz="1"/>
            </w:tcBorders>
            <w:shd w:fill="F0FAF5" w:val="clear"/>
            <w:tcMar>
              <w:top w:type="dxa" w:w="120"/>
              <w:left w:type="dxa" w:w="200"/>
              <w:bottom w:type="dxa" w:w="120"/>
              <w:right w:type="dxa" w:w="200"/>
            </w:tcMar>
          </w:tcPr>
          <w:p>
            <w:r>
              <w:rPr>
                <w:rFonts w:ascii="Arial" w:cs="Arial" w:eastAsia="Arial" w:hAnsi="Arial"/>
                <w:color w:val="444444"/>
                <w:sz w:val="19"/>
                <w:szCs w:val="19"/>
              </w:rPr>
              <w:t xml:space="preserve">Questions or incidents? Contact WalkMyAds management immediately:  </w:t>
            </w:r>
            <w:r>
              <w:rPr>
                <w:rFonts w:ascii="Arial" w:cs="Arial" w:eastAsia="Arial" w:hAnsi="Arial"/>
                <w:b/>
                <w:bCs/>
                <w:color w:val="1A7A4A"/>
                <w:sz w:val="19"/>
                <w:szCs w:val="19"/>
              </w:rPr>
              <w:t xml:space="preserve">hello@walkmyads.com</w:t>
            </w:r>
            <w:r>
              <w:rPr>
                <w:rFonts w:ascii="Arial" w:cs="Arial" w:eastAsia="Arial" w:hAnsi="Arial"/>
                <w:color w:val="888888"/>
                <w:sz w:val="19"/>
                <w:szCs w:val="19"/>
              </w:rPr>
              <w:t xml:space="preserve">  |  walkmyads.com</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5DE" w:sz="4" w:space="4"/>
      </w:pBdr>
      <w:tabs>
        <w:tab w:val="right" w:pos="9026"/>
      </w:tabs>
      <w:spacing w:before="0"/>
    </w:pPr>
    <w:r>
      <w:rPr>
        <w:rFonts w:ascii="Arial" w:cs="Arial" w:eastAsia="Arial" w:hAnsi="Arial"/>
        <w:color w:val="AAAAAA"/>
        <w:sz w:val="16"/>
        <w:szCs w:val="16"/>
      </w:rPr>
      <w:t xml:space="preserve">CONFIDENTIAL — WalkMyAds Internal Operating Document</w:t>
    </w:r>
    <w:r>
      <w:rPr>
        <w:rFonts w:ascii="Arial" w:cs="Arial" w:eastAsia="Arial" w:hAnsi="Arial"/>
        <w:color w:val="AAAAAA"/>
        <w:sz w:val="16"/>
        <w:szCs w:val="16"/>
      </w:rPr>
      <w:t xml:space="preserve">	Page </w:t>
    </w:r>
    <w:r>
      <w:rPr>
        <w:rFonts w:ascii="Arial" w:cs="Arial" w:eastAsia="Arial" w:hAnsi="Arial"/>
        <w:color w:val="AAAAA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7A4A" w:sz="4" w:space="4"/>
      </w:pBdr>
      <w:tabs>
        <w:tab w:val="right" w:pos="9026"/>
      </w:tabs>
      <w:spacing w:after="0"/>
    </w:pPr>
    <w:r>
      <w:rPr>
        <w:rFonts w:ascii="Arial" w:cs="Arial" w:eastAsia="Arial" w:hAnsi="Arial"/>
        <w:b/>
        <w:bCs/>
        <w:color w:val="1A7A4A"/>
        <w:sz w:val="22"/>
        <w:szCs w:val="22"/>
      </w:rPr>
      <w:t xml:space="preserve">WALKMYADS</w:t>
    </w:r>
    <w:r>
      <w:rPr>
        <w:rFonts w:ascii="Arial" w:cs="Arial" w:eastAsia="Arial" w:hAnsi="Arial"/>
        <w:color w:val="888888"/>
        <w:sz w:val="18"/>
        <w:szCs w:val="18"/>
      </w:rPr>
      <w:t xml:space="preserve">	Walker Operating Policy  |  v1.0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2026-03-24T05:22:58.434Z</dcterms:created>
  <dcterms:modified xsi:type="dcterms:W3CDTF">2026-03-24T05:22:58.435Z</dcterms:modified>
</cp:coreProperties>
</file>

<file path=docProps/custom.xml><?xml version="1.0" encoding="utf-8"?>
<Properties xmlns="http://schemas.openxmlformats.org/officeDocument/2006/custom-properties" xmlns:vt="http://schemas.openxmlformats.org/officeDocument/2006/docPropsVTypes"/>
</file>